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B-103-2026-CP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GHG Los 13 Schadstoffsanierung_Entrümpelung_Teilabbruch Altbau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Schadstoffsanierung, Entrümpelung und Teilabbruchmaßnahmen im denkmalgeschützten Altbaugebäude (ohne Dachgeschoss)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